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57E" w:rsidRPr="00921E6A" w:rsidRDefault="00921E6A" w:rsidP="00921E6A">
      <w:pPr>
        <w:spacing w:before="100" w:beforeAutospacing="1" w:after="100" w:afterAutospacing="1" w:line="240" w:lineRule="auto"/>
        <w:rPr>
          <w:rFonts w:ascii="Times New Roman" w:eastAsia="Times New Roman" w:hAnsi="Times New Roman" w:cs="Times New Roman"/>
          <w:b/>
          <w:bCs/>
          <w:sz w:val="24"/>
          <w:szCs w:val="24"/>
        </w:rPr>
      </w:pPr>
      <w:r w:rsidRPr="00921E6A">
        <w:rPr>
          <w:rFonts w:ascii="Times New Roman" w:eastAsia="Times New Roman" w:hAnsi="Times New Roman" w:cs="Times New Roman"/>
          <w:b/>
          <w:bCs/>
          <w:sz w:val="24"/>
          <w:szCs w:val="24"/>
        </w:rPr>
        <w:t>GEF 9216-Thailand-UNIDO-Application of industry-urban symbiosis and green chemistry for low emission and POP’s free industrial development</w:t>
      </w:r>
    </w:p>
    <w:p w:rsidR="00921E6A" w:rsidRDefault="00921E6A" w:rsidP="00921E6A">
      <w:pPr>
        <w:spacing w:before="100" w:beforeAutospacing="1" w:after="100" w:afterAutospacing="1"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GEF </w:t>
      </w:r>
      <w:r w:rsidRPr="00921E6A">
        <w:rPr>
          <w:rFonts w:ascii="Times New Roman" w:eastAsia="Times New Roman" w:hAnsi="Times New Roman" w:cs="Times New Roman"/>
          <w:b/>
          <w:bCs/>
          <w:sz w:val="24"/>
          <w:szCs w:val="24"/>
        </w:rPr>
        <w:t>Secretariat Comment at CEO Endorsement</w:t>
      </w:r>
    </w:p>
    <w:p w:rsidR="00921E6A" w:rsidRPr="00921E6A" w:rsidRDefault="00921E6A" w:rsidP="00921E6A">
      <w:pPr>
        <w:spacing w:before="100" w:beforeAutospacing="1" w:after="100" w:afterAutospacing="1" w:line="240" w:lineRule="auto"/>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rPr>
        <w:t xml:space="preserve">1. The projects details that work on PFOS, PBDE's </w:t>
      </w:r>
      <w:proofErr w:type="spellStart"/>
      <w:r w:rsidRPr="00921E6A">
        <w:rPr>
          <w:rFonts w:ascii="Times New Roman" w:eastAsia="Times New Roman" w:hAnsi="Times New Roman" w:cs="Times New Roman"/>
          <w:sz w:val="24"/>
          <w:szCs w:val="24"/>
        </w:rPr>
        <w:t>etc</w:t>
      </w:r>
      <w:proofErr w:type="spellEnd"/>
      <w:r w:rsidRPr="00921E6A">
        <w:rPr>
          <w:rFonts w:ascii="Times New Roman" w:eastAsia="Times New Roman" w:hAnsi="Times New Roman" w:cs="Times New Roman"/>
          <w:sz w:val="24"/>
          <w:szCs w:val="24"/>
        </w:rPr>
        <w:t xml:space="preserve"> will be done, however this is not reflected in the core indicators.  Please correct.</w:t>
      </w:r>
    </w:p>
    <w:p w:rsidR="00921E6A" w:rsidRDefault="00921E6A" w:rsidP="00921E6A">
      <w:pPr>
        <w:spacing w:before="100" w:beforeAutospacing="1" w:after="100" w:afterAutospacing="1" w:line="240" w:lineRule="auto"/>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rPr>
        <w:t>2. The project details that work on reduction of emissions of UPOPs will be done however this is not reflected in the relevant core indicator.  Please correct.</w:t>
      </w:r>
    </w:p>
    <w:p w:rsidR="00921E6A" w:rsidRPr="00921E6A" w:rsidRDefault="00921E6A" w:rsidP="00921E6A">
      <w:pPr>
        <w:spacing w:before="100" w:beforeAutospacing="1" w:after="100" w:afterAutospacing="1" w:line="240" w:lineRule="auto"/>
        <w:rPr>
          <w:rFonts w:ascii="Times New Roman" w:eastAsia="Times New Roman" w:hAnsi="Times New Roman" w:cs="Times New Roman"/>
          <w:b/>
          <w:bCs/>
          <w:sz w:val="24"/>
          <w:szCs w:val="24"/>
        </w:rPr>
      </w:pPr>
      <w:r w:rsidRPr="00921E6A">
        <w:rPr>
          <w:rFonts w:ascii="Times New Roman" w:eastAsia="Times New Roman" w:hAnsi="Times New Roman" w:cs="Times New Roman"/>
          <w:b/>
          <w:bCs/>
          <w:sz w:val="24"/>
          <w:szCs w:val="24"/>
        </w:rPr>
        <w:t>Response to Secretariat comments</w:t>
      </w:r>
    </w:p>
    <w:p w:rsidR="00921E6A" w:rsidRPr="00921E6A" w:rsidRDefault="00921E6A" w:rsidP="00921E6A">
      <w:pPr>
        <w:spacing w:before="100" w:beforeAutospacing="1" w:after="100" w:afterAutospacing="1" w:line="240" w:lineRule="auto"/>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rPr>
        <w:t>The POP's reduction targets are updated in the POP's tracking tool as well as on the core indicators.</w:t>
      </w:r>
    </w:p>
    <w:p w:rsidR="00921E6A" w:rsidRPr="00921E6A" w:rsidRDefault="00921E6A" w:rsidP="00921E6A">
      <w:pPr>
        <w:spacing w:before="100" w:beforeAutospacing="1" w:after="100" w:afterAutospacing="1" w:line="240" w:lineRule="auto"/>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rPr>
        <w:t>1. The PFOS, PBDE's reduction target is estimated to 625.34 metric tons.</w:t>
      </w:r>
    </w:p>
    <w:p w:rsidR="00921E6A" w:rsidRPr="00921E6A" w:rsidRDefault="00921E6A" w:rsidP="00921E6A">
      <w:pPr>
        <w:spacing w:before="100" w:beforeAutospacing="1" w:after="100" w:afterAutospacing="1" w:line="264" w:lineRule="auto"/>
        <w:jc w:val="both"/>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lang w:eastAsia="x-none"/>
        </w:rPr>
        <w:t>Based on the analysis of POPs and POPs containing materials described in Section 2.a, the project plans to work with the Government to focus mostly on reduction and destruction of POPs and POPs containing materials in the electronic industry and related to vehicles, machinery, products, x-ray film, housewares equipment, and building materials.</w:t>
      </w:r>
    </w:p>
    <w:p w:rsidR="00921E6A" w:rsidRPr="00921E6A" w:rsidRDefault="00921E6A" w:rsidP="00921E6A">
      <w:pPr>
        <w:spacing w:before="100" w:beforeAutospacing="1" w:after="100" w:afterAutospacing="1" w:line="264" w:lineRule="auto"/>
        <w:jc w:val="both"/>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lang w:eastAsia="x-none"/>
        </w:rPr>
        <w:t> The breakdowns of the expected type of activity to reduce / destroy POPs, the impacted sectors, the total amount of POPs in the related sector, and the amount to be addressed within the project are all described below. For activities, which will have an ongoing impact in terms of reduction of POPs (i.e. not just a 1-time destruction activity), the number of years of relevance is assumed to be 10.</w:t>
      </w:r>
    </w:p>
    <w:p w:rsidR="00921E6A" w:rsidRPr="00921E6A" w:rsidRDefault="00921E6A" w:rsidP="00921E6A">
      <w:pPr>
        <w:spacing w:before="100" w:beforeAutospacing="1" w:after="100" w:afterAutospacing="1" w:line="264" w:lineRule="auto"/>
        <w:rPr>
          <w:rFonts w:ascii="Times New Roman" w:eastAsia="Times New Roman" w:hAnsi="Times New Roman" w:cs="Times New Roman"/>
          <w:sz w:val="24"/>
          <w:szCs w:val="24"/>
        </w:rPr>
      </w:pPr>
      <w:r w:rsidRPr="00921E6A">
        <w:rPr>
          <w:rFonts w:ascii="Times New Roman" w:eastAsia="Times New Roman" w:hAnsi="Times New Roman" w:cs="Times New Roman"/>
          <w:b/>
          <w:bCs/>
          <w:sz w:val="24"/>
          <w:szCs w:val="24"/>
          <w:lang w:eastAsia="x-none"/>
        </w:rPr>
        <w:t> Table H.1</w:t>
      </w:r>
      <w:r w:rsidRPr="00921E6A">
        <w:rPr>
          <w:rFonts w:ascii="Times New Roman" w:eastAsia="Times New Roman" w:hAnsi="Times New Roman" w:cs="Times New Roman"/>
          <w:sz w:val="24"/>
          <w:szCs w:val="24"/>
          <w:lang w:eastAsia="x-none"/>
        </w:rPr>
        <w:t xml:space="preserve"> Calculation of POPs to be reduced / destroyed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8"/>
        <w:gridCol w:w="1610"/>
        <w:gridCol w:w="1193"/>
        <w:gridCol w:w="1256"/>
        <w:gridCol w:w="1424"/>
        <w:gridCol w:w="1031"/>
        <w:gridCol w:w="1074"/>
      </w:tblGrid>
      <w:tr w:rsidR="00921E6A" w:rsidRPr="00921E6A" w:rsidTr="00921E6A">
        <w:trPr>
          <w:trHeight w:val="900"/>
        </w:trPr>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Type of POPs</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Focus of activity</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Market potential</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to be reduced / destroyed</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Amount to be reduced / destroyed per year</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of years relevant</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Total tonnes</w:t>
            </w:r>
          </w:p>
        </w:tc>
      </w:tr>
      <w:tr w:rsidR="00921E6A" w:rsidRPr="00921E6A" w:rsidTr="00921E6A">
        <w:trPr>
          <w:trHeight w:val="438"/>
        </w:trPr>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Unit</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Description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Tonnes (mostly per year)</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tonnes / year</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years</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tonnes (lifetime)</w:t>
            </w:r>
          </w:p>
        </w:tc>
      </w:tr>
      <w:tr w:rsidR="00921E6A" w:rsidRPr="00921E6A" w:rsidTr="00921E6A">
        <w:trPr>
          <w:trHeight w:val="300"/>
        </w:trPr>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PFOS</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bottom"/>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r>
      <w:tr w:rsidR="00921E6A" w:rsidRPr="00921E6A" w:rsidTr="00921E6A">
        <w:trPr>
          <w:trHeight w:val="565"/>
        </w:trPr>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Electronic industry</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Waste reduction / destruction of POPs</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1.32</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0.20</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10.00</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1.98</w:t>
            </w:r>
          </w:p>
        </w:tc>
      </w:tr>
      <w:tr w:rsidR="00921E6A" w:rsidRPr="00921E6A" w:rsidTr="00921E6A">
        <w:trPr>
          <w:trHeight w:val="260"/>
        </w:trPr>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xml:space="preserve">Vehicles, machinery products, x-ray film, housewares equipment and </w:t>
            </w:r>
            <w:r w:rsidRPr="00921E6A">
              <w:rPr>
                <w:rFonts w:asciiTheme="majorBidi" w:eastAsia="Times New Roman" w:hAnsiTheme="majorBidi" w:cstheme="majorBidi"/>
                <w:color w:val="000000"/>
                <w:sz w:val="20"/>
                <w:szCs w:val="20"/>
                <w:lang w:val="en-GB" w:eastAsia="en-GB"/>
              </w:rPr>
              <w:lastRenderedPageBreak/>
              <w:t>building materials</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lastRenderedPageBreak/>
              <w:t>Waste reduction / destruction of POPs</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17.04</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2.56</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10.00</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25.56</w:t>
            </w:r>
          </w:p>
        </w:tc>
      </w:tr>
      <w:tr w:rsidR="00921E6A" w:rsidRPr="00921E6A" w:rsidTr="00921E6A">
        <w:trPr>
          <w:trHeight w:val="300"/>
        </w:trPr>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lastRenderedPageBreak/>
              <w:t>Total</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31.55</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2.75</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27.54</w:t>
            </w:r>
          </w:p>
        </w:tc>
      </w:tr>
      <w:tr w:rsidR="00921E6A" w:rsidRPr="00921E6A" w:rsidTr="00921E6A">
        <w:trPr>
          <w:trHeight w:val="300"/>
        </w:trPr>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PBDEs</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shd w:val="clear" w:color="auto" w:fill="E7E6E6"/>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r>
      <w:tr w:rsidR="00921E6A" w:rsidRPr="00921E6A" w:rsidTr="00921E6A">
        <w:trPr>
          <w:trHeight w:val="695"/>
        </w:trPr>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Electronic industry</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Proper destruction of PBDE containing substances</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91.43</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13.71</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10</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137.145</w:t>
            </w:r>
          </w:p>
        </w:tc>
      </w:tr>
      <w:tr w:rsidR="00921E6A" w:rsidRPr="00921E6A" w:rsidTr="00921E6A">
        <w:trPr>
          <w:trHeight w:val="624"/>
        </w:trPr>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Vehicles, machinery products, x-ray film, housewares equipment and building materials</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Proper destruction of PBDE containing substances</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46,065.67</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460.66</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0"/>
                <w:szCs w:val="20"/>
                <w:lang w:val="en-GB" w:eastAsia="en-GB"/>
              </w:rPr>
              <w:t>460.66</w:t>
            </w:r>
          </w:p>
        </w:tc>
      </w:tr>
      <w:tr w:rsidR="00921E6A" w:rsidRPr="00921E6A" w:rsidTr="00921E6A">
        <w:trPr>
          <w:trHeight w:val="300"/>
        </w:trPr>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Total</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46347.30</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474.37</w:t>
            </w: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after="0" w:line="240" w:lineRule="auto"/>
              <w:rPr>
                <w:rFonts w:asciiTheme="majorBidi" w:eastAsia="Times New Roman" w:hAnsiTheme="majorBidi" w:cstheme="majorBidi"/>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597.80</w:t>
            </w:r>
          </w:p>
        </w:tc>
      </w:tr>
      <w:tr w:rsidR="00921E6A" w:rsidRPr="00921E6A" w:rsidTr="00921E6A">
        <w:trPr>
          <w:trHeight w:val="300"/>
        </w:trPr>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Total (combined)</w:t>
            </w:r>
          </w:p>
        </w:tc>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 </w:t>
            </w:r>
          </w:p>
        </w:tc>
        <w:tc>
          <w:tcPr>
            <w:tcW w:w="0" w:type="auto"/>
            <w:tcBorders>
              <w:top w:val="single" w:sz="4" w:space="0" w:color="auto"/>
              <w:left w:val="single" w:sz="4" w:space="0" w:color="auto"/>
              <w:bottom w:val="single" w:sz="4" w:space="0" w:color="auto"/>
              <w:right w:val="single" w:sz="4" w:space="0" w:color="auto"/>
            </w:tcBorders>
            <w:shd w:val="clear" w:color="auto" w:fill="EEECE1"/>
            <w:vAlign w:val="center"/>
            <w:hideMark/>
          </w:tcPr>
          <w:p w:rsidR="00921E6A" w:rsidRPr="00921E6A" w:rsidRDefault="00921E6A" w:rsidP="00921E6A">
            <w:pPr>
              <w:spacing w:before="100" w:beforeAutospacing="1" w:after="100" w:afterAutospacing="1" w:line="264"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b/>
                <w:bCs/>
                <w:color w:val="000000"/>
                <w:sz w:val="20"/>
                <w:szCs w:val="20"/>
                <w:lang w:val="en-GB" w:eastAsia="en-GB"/>
              </w:rPr>
              <w:t>625.34</w:t>
            </w:r>
          </w:p>
        </w:tc>
      </w:tr>
    </w:tbl>
    <w:p w:rsidR="00921E6A" w:rsidRPr="00921E6A" w:rsidRDefault="00921E6A" w:rsidP="00921E6A">
      <w:pPr>
        <w:spacing w:before="100" w:beforeAutospacing="1" w:after="100" w:afterAutospacing="1" w:line="264" w:lineRule="auto"/>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lang w:eastAsia="x-none"/>
        </w:rPr>
        <w:t> </w:t>
      </w:r>
    </w:p>
    <w:p w:rsidR="00921E6A" w:rsidRPr="00921E6A" w:rsidRDefault="00921E6A" w:rsidP="00921E6A">
      <w:pPr>
        <w:spacing w:before="100" w:beforeAutospacing="1" w:after="100" w:afterAutospacing="1" w:line="240" w:lineRule="auto"/>
        <w:rPr>
          <w:rFonts w:ascii="Times New Roman" w:eastAsia="Times New Roman" w:hAnsi="Times New Roman" w:cs="Times New Roman"/>
          <w:sz w:val="24"/>
          <w:szCs w:val="24"/>
        </w:rPr>
      </w:pPr>
      <w:r w:rsidRPr="00921E6A">
        <w:rPr>
          <w:rFonts w:ascii="Times New Roman" w:eastAsia="Times New Roman" w:hAnsi="Times New Roman" w:cs="Times New Roman"/>
          <w:sz w:val="24"/>
          <w:szCs w:val="24"/>
        </w:rPr>
        <w:t>2. The UPOPs reduction due to fossil fuel avoided is estimated as follow:</w:t>
      </w:r>
    </w:p>
    <w:tbl>
      <w:tblPr>
        <w:tblW w:w="7600" w:type="dxa"/>
        <w:tblCellMar>
          <w:left w:w="0" w:type="dxa"/>
          <w:right w:w="0" w:type="dxa"/>
        </w:tblCellMar>
        <w:tblLook w:val="04A0" w:firstRow="1" w:lastRow="0" w:firstColumn="1" w:lastColumn="0" w:noHBand="0" w:noVBand="1"/>
      </w:tblPr>
      <w:tblGrid>
        <w:gridCol w:w="1900"/>
        <w:gridCol w:w="1755"/>
        <w:gridCol w:w="1784"/>
        <w:gridCol w:w="2161"/>
      </w:tblGrid>
      <w:tr w:rsidR="00921E6A" w:rsidRPr="00921E6A" w:rsidTr="00921E6A">
        <w:trPr>
          <w:trHeight w:val="300"/>
        </w:trPr>
        <w:tc>
          <w:tcPr>
            <w:tcW w:w="1900" w:type="dxa"/>
            <w:tcBorders>
              <w:top w:val="single" w:sz="8" w:space="0" w:color="auto"/>
              <w:left w:val="single" w:sz="8" w:space="0" w:color="auto"/>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 </w:t>
            </w:r>
          </w:p>
        </w:tc>
        <w:tc>
          <w:tcPr>
            <w:tcW w:w="5700" w:type="dxa"/>
            <w:gridSpan w:val="3"/>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Avg. reduction (g) / year</w:t>
            </w:r>
          </w:p>
        </w:tc>
      </w:tr>
      <w:tr w:rsidR="00921E6A" w:rsidRPr="00921E6A" w:rsidTr="00921E6A">
        <w:trPr>
          <w:trHeight w:val="380"/>
        </w:trPr>
        <w:tc>
          <w:tcPr>
            <w:tcW w:w="1900" w:type="dxa"/>
            <w:tcBorders>
              <w:top w:val="nil"/>
              <w:left w:val="single" w:sz="8" w:space="0" w:color="auto"/>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 </w:t>
            </w:r>
          </w:p>
        </w:tc>
        <w:tc>
          <w:tcPr>
            <w:tcW w:w="1755" w:type="dxa"/>
            <w:tcBorders>
              <w:top w:val="nil"/>
              <w:left w:val="nil"/>
              <w:bottom w:val="nil"/>
              <w:right w:val="single" w:sz="8" w:space="0" w:color="auto"/>
            </w:tcBorders>
            <w:noWrap/>
            <w:tcMar>
              <w:top w:w="0" w:type="dxa"/>
              <w:left w:w="108" w:type="dxa"/>
              <w:bottom w:w="0" w:type="dxa"/>
              <w:right w:w="108" w:type="dxa"/>
            </w:tcMar>
            <w:vAlign w:val="center"/>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8"/>
                <w:szCs w:val="28"/>
              </w:rPr>
              <w:t>PCB Reduction</w:t>
            </w:r>
          </w:p>
        </w:tc>
        <w:tc>
          <w:tcPr>
            <w:tcW w:w="1784" w:type="dxa"/>
            <w:tcBorders>
              <w:top w:val="nil"/>
              <w:left w:val="nil"/>
              <w:bottom w:val="nil"/>
              <w:right w:val="single" w:sz="8" w:space="0" w:color="auto"/>
            </w:tcBorders>
            <w:noWrap/>
            <w:tcMar>
              <w:top w:w="0" w:type="dxa"/>
              <w:left w:w="108" w:type="dxa"/>
              <w:bottom w:w="0" w:type="dxa"/>
              <w:right w:w="108" w:type="dxa"/>
            </w:tcMar>
            <w:vAlign w:val="center"/>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8"/>
                <w:szCs w:val="28"/>
              </w:rPr>
              <w:t>HCB Reduction</w:t>
            </w:r>
          </w:p>
        </w:tc>
        <w:tc>
          <w:tcPr>
            <w:tcW w:w="2161" w:type="dxa"/>
            <w:tcBorders>
              <w:top w:val="nil"/>
              <w:left w:val="nil"/>
              <w:bottom w:val="nil"/>
              <w:right w:val="single" w:sz="8" w:space="0" w:color="auto"/>
            </w:tcBorders>
            <w:noWrap/>
            <w:tcMar>
              <w:top w:w="0" w:type="dxa"/>
              <w:left w:w="108" w:type="dxa"/>
              <w:bottom w:w="0" w:type="dxa"/>
              <w:right w:w="108" w:type="dxa"/>
            </w:tcMar>
            <w:vAlign w:val="center"/>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8"/>
                <w:szCs w:val="28"/>
              </w:rPr>
              <w:t>PCDD/F Reduction</w:t>
            </w:r>
          </w:p>
        </w:tc>
      </w:tr>
      <w:tr w:rsidR="00921E6A" w:rsidRPr="00921E6A" w:rsidTr="00921E6A">
        <w:trPr>
          <w:trHeight w:val="380"/>
        </w:trPr>
        <w:tc>
          <w:tcPr>
            <w:tcW w:w="19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 </w:t>
            </w:r>
          </w:p>
        </w:tc>
        <w:tc>
          <w:tcPr>
            <w:tcW w:w="175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8"/>
                <w:szCs w:val="28"/>
              </w:rPr>
              <w:t>(g)</w:t>
            </w:r>
          </w:p>
        </w:tc>
        <w:tc>
          <w:tcPr>
            <w:tcW w:w="178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8"/>
                <w:szCs w:val="28"/>
              </w:rPr>
              <w:t>(g)</w:t>
            </w:r>
          </w:p>
        </w:tc>
        <w:tc>
          <w:tcPr>
            <w:tcW w:w="216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1E6A" w:rsidRPr="00921E6A" w:rsidRDefault="00921E6A" w:rsidP="00921E6A">
            <w:pPr>
              <w:spacing w:before="100" w:beforeAutospacing="1" w:after="100" w:afterAutospacing="1" w:line="240" w:lineRule="auto"/>
              <w:jc w:val="center"/>
              <w:rPr>
                <w:rFonts w:asciiTheme="majorBidi" w:eastAsia="Times New Roman" w:hAnsiTheme="majorBidi" w:cstheme="majorBidi"/>
                <w:sz w:val="24"/>
                <w:szCs w:val="24"/>
              </w:rPr>
            </w:pPr>
            <w:r w:rsidRPr="00921E6A">
              <w:rPr>
                <w:rFonts w:asciiTheme="majorBidi" w:eastAsia="Times New Roman" w:hAnsiTheme="majorBidi" w:cstheme="majorBidi"/>
                <w:color w:val="000000"/>
                <w:sz w:val="28"/>
                <w:szCs w:val="28"/>
              </w:rPr>
              <w:t>(g l - TEQ)</w:t>
            </w:r>
          </w:p>
        </w:tc>
      </w:tr>
      <w:tr w:rsidR="00921E6A" w:rsidRPr="00921E6A" w:rsidTr="00921E6A">
        <w:trPr>
          <w:trHeight w:val="300"/>
        </w:trPr>
        <w:tc>
          <w:tcPr>
            <w:tcW w:w="1900" w:type="dxa"/>
            <w:tcBorders>
              <w:top w:val="nil"/>
              <w:left w:val="single" w:sz="8" w:space="0" w:color="auto"/>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proofErr w:type="spellStart"/>
            <w:r w:rsidRPr="00921E6A">
              <w:rPr>
                <w:rFonts w:asciiTheme="majorBidi" w:eastAsia="Times New Roman" w:hAnsiTheme="majorBidi" w:cstheme="majorBidi"/>
                <w:color w:val="000000"/>
                <w:sz w:val="24"/>
                <w:szCs w:val="24"/>
              </w:rPr>
              <w:t>Samut</w:t>
            </w:r>
            <w:proofErr w:type="spellEnd"/>
            <w:r w:rsidRPr="00921E6A">
              <w:rPr>
                <w:rFonts w:asciiTheme="majorBidi" w:eastAsia="Times New Roman" w:hAnsiTheme="majorBidi" w:cstheme="majorBidi"/>
                <w:color w:val="000000"/>
                <w:sz w:val="24"/>
                <w:szCs w:val="24"/>
              </w:rPr>
              <w:t xml:space="preserve"> </w:t>
            </w:r>
            <w:proofErr w:type="spellStart"/>
            <w:r w:rsidRPr="00921E6A">
              <w:rPr>
                <w:rFonts w:asciiTheme="majorBidi" w:eastAsia="Times New Roman" w:hAnsiTheme="majorBidi" w:cstheme="majorBidi"/>
                <w:color w:val="000000"/>
                <w:sz w:val="24"/>
                <w:szCs w:val="24"/>
              </w:rPr>
              <w:t>prakarn</w:t>
            </w:r>
            <w:proofErr w:type="spellEnd"/>
          </w:p>
        </w:tc>
        <w:tc>
          <w:tcPr>
            <w:tcW w:w="1755" w:type="dxa"/>
            <w:tcBorders>
              <w:top w:val="nil"/>
              <w:left w:val="nil"/>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2.25</w:t>
            </w:r>
          </w:p>
        </w:tc>
        <w:tc>
          <w:tcPr>
            <w:tcW w:w="1784" w:type="dxa"/>
            <w:tcBorders>
              <w:top w:val="nil"/>
              <w:left w:val="nil"/>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0.028</w:t>
            </w:r>
          </w:p>
        </w:tc>
        <w:tc>
          <w:tcPr>
            <w:tcW w:w="2161" w:type="dxa"/>
            <w:tcBorders>
              <w:top w:val="nil"/>
              <w:left w:val="nil"/>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0.0035</w:t>
            </w:r>
          </w:p>
        </w:tc>
      </w:tr>
      <w:tr w:rsidR="00921E6A" w:rsidRPr="00921E6A" w:rsidTr="00921E6A">
        <w:trPr>
          <w:trHeight w:val="300"/>
        </w:trPr>
        <w:tc>
          <w:tcPr>
            <w:tcW w:w="1900" w:type="dxa"/>
            <w:tcBorders>
              <w:top w:val="nil"/>
              <w:left w:val="single" w:sz="8" w:space="0" w:color="auto"/>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proofErr w:type="spellStart"/>
            <w:r w:rsidRPr="00921E6A">
              <w:rPr>
                <w:rFonts w:asciiTheme="majorBidi" w:eastAsia="Times New Roman" w:hAnsiTheme="majorBidi" w:cstheme="majorBidi"/>
                <w:color w:val="000000"/>
                <w:sz w:val="24"/>
                <w:szCs w:val="24"/>
              </w:rPr>
              <w:t>Chonburi</w:t>
            </w:r>
            <w:proofErr w:type="spellEnd"/>
          </w:p>
        </w:tc>
        <w:tc>
          <w:tcPr>
            <w:tcW w:w="1755" w:type="dxa"/>
            <w:tcBorders>
              <w:top w:val="nil"/>
              <w:left w:val="nil"/>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1.97</w:t>
            </w:r>
          </w:p>
        </w:tc>
        <w:tc>
          <w:tcPr>
            <w:tcW w:w="1784" w:type="dxa"/>
            <w:tcBorders>
              <w:top w:val="nil"/>
              <w:left w:val="nil"/>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0.022</w:t>
            </w:r>
          </w:p>
        </w:tc>
        <w:tc>
          <w:tcPr>
            <w:tcW w:w="2161" w:type="dxa"/>
            <w:tcBorders>
              <w:top w:val="nil"/>
              <w:left w:val="nil"/>
              <w:bottom w:val="nil"/>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0.0032</w:t>
            </w:r>
          </w:p>
        </w:tc>
      </w:tr>
      <w:tr w:rsidR="00921E6A" w:rsidRPr="00921E6A" w:rsidTr="00921E6A">
        <w:trPr>
          <w:trHeight w:val="300"/>
        </w:trPr>
        <w:tc>
          <w:tcPr>
            <w:tcW w:w="19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proofErr w:type="spellStart"/>
            <w:r w:rsidRPr="00921E6A">
              <w:rPr>
                <w:rFonts w:asciiTheme="majorBidi" w:eastAsia="Times New Roman" w:hAnsiTheme="majorBidi" w:cstheme="majorBidi"/>
                <w:color w:val="000000"/>
                <w:sz w:val="24"/>
                <w:szCs w:val="24"/>
              </w:rPr>
              <w:t>Rayong</w:t>
            </w:r>
            <w:proofErr w:type="spellEnd"/>
          </w:p>
        </w:tc>
        <w:tc>
          <w:tcPr>
            <w:tcW w:w="17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8</w:t>
            </w:r>
          </w:p>
        </w:tc>
        <w:tc>
          <w:tcPr>
            <w:tcW w:w="17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0.300</w:t>
            </w:r>
          </w:p>
        </w:tc>
        <w:tc>
          <w:tcPr>
            <w:tcW w:w="21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0.0100</w:t>
            </w:r>
          </w:p>
        </w:tc>
      </w:tr>
      <w:tr w:rsidR="00921E6A" w:rsidRPr="00921E6A" w:rsidTr="00921E6A">
        <w:trPr>
          <w:trHeight w:val="300"/>
        </w:trPr>
        <w:tc>
          <w:tcPr>
            <w:tcW w:w="19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Total</w:t>
            </w:r>
          </w:p>
        </w:tc>
        <w:tc>
          <w:tcPr>
            <w:tcW w:w="17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12.23</w:t>
            </w:r>
          </w:p>
        </w:tc>
        <w:tc>
          <w:tcPr>
            <w:tcW w:w="178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0.350</w:t>
            </w:r>
          </w:p>
        </w:tc>
        <w:tc>
          <w:tcPr>
            <w:tcW w:w="21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21E6A" w:rsidRPr="00921E6A" w:rsidRDefault="00921E6A" w:rsidP="00921E6A">
            <w:pPr>
              <w:spacing w:before="100" w:beforeAutospacing="1" w:after="100" w:afterAutospacing="1" w:line="240" w:lineRule="auto"/>
              <w:jc w:val="right"/>
              <w:rPr>
                <w:rFonts w:asciiTheme="majorBidi" w:eastAsia="Times New Roman" w:hAnsiTheme="majorBidi" w:cstheme="majorBidi"/>
                <w:sz w:val="24"/>
                <w:szCs w:val="24"/>
              </w:rPr>
            </w:pPr>
            <w:r w:rsidRPr="00921E6A">
              <w:rPr>
                <w:rFonts w:asciiTheme="majorBidi" w:eastAsia="Times New Roman" w:hAnsiTheme="majorBidi" w:cstheme="majorBidi"/>
                <w:color w:val="000000"/>
                <w:sz w:val="24"/>
                <w:szCs w:val="24"/>
              </w:rPr>
              <w:t>0.0167</w:t>
            </w:r>
          </w:p>
        </w:tc>
      </w:tr>
    </w:tbl>
    <w:p w:rsidR="00921E6A" w:rsidRPr="00921E6A" w:rsidRDefault="00921E6A" w:rsidP="00921E6A">
      <w:pPr>
        <w:spacing w:before="100" w:beforeAutospacing="1" w:after="100" w:afterAutospacing="1" w:line="240" w:lineRule="auto"/>
        <w:rPr>
          <w:rFonts w:ascii="Times New Roman" w:eastAsia="Times New Roman" w:hAnsi="Times New Roman" w:cs="Times New Roman"/>
          <w:sz w:val="24"/>
          <w:szCs w:val="24"/>
        </w:rPr>
      </w:pPr>
    </w:p>
    <w:p w:rsidR="00921E6A" w:rsidRDefault="00921E6A">
      <w:bookmarkStart w:id="0" w:name="_GoBack"/>
      <w:bookmarkEnd w:id="0"/>
    </w:p>
    <w:sectPr w:rsidR="00921E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E6A"/>
    <w:rsid w:val="00921E6A"/>
    <w:rsid w:val="00ED75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3975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Thailand</GEFCountry>
    <Classification xmlns="ceb00776-aa5c-4fc8-b6fe-5f035152e4b6">Public</Classification>
    <Country1 xmlns="ceb00776-aa5c-4fc8-b6fe-5f035152e4b6" xsi:nil="true"/>
    <DocPrefix xmlns="ceb00776-aa5c-4fc8-b6fe-5f035152e4b6">GEF Agencies' comments</DocPrefix>
    <GEFID xmlns="ceb00776-aa5c-4fc8-b6fe-5f035152e4b6">9219</GEFID>
    <ProjectType xmlns="ceb00776-aa5c-4fc8-b6fe-5f035152e4b6">FSP</ProjectType>
    <GEFProjectID xmlns="ceb00776-aa5c-4fc8-b6fe-5f035152e4b6">d0b7f34b-df7c-e811-8124-3863bb2e1360</GEFProjectID>
    <DocActive xmlns="ceb00776-aa5c-4fc8-b6fe-5f035152e4b6">No</DocActive>
    <DocCategory xmlns="ceb00776-aa5c-4fc8-b6fe-5f035152e4b6">Project Review Document</DocCategory>
    <FocalArea xmlns="ceb00776-aa5c-4fc8-b6fe-5f035152e4b6">Multi Focal Area</FocalArea>
    <DocType xmlns="ceb00776-aa5c-4fc8-b6fe-5f035152e4b6">CEO Endorsement Project Justification Stakeholder</DocType>
    <ProjectTitle xmlns="ceb00776-aa5c-4fc8-b6fe-5f035152e4b6">Applications of Industry-urban Symbiosis and Green Chemistry for Low Emission and Persistent Organic Pollutants (POPs)-Free Industrial Development in Thailand </ProjectTitle>
    <TrustFundType xmlns="ceb00776-aa5c-4fc8-b6fe-5f035152e4b6">GET</TrustFundType>
    <TaxCatchAll xmlns="3e02667f-0271-471b-bd6e-11a2e16def1d"/>
    <DocumentTitle xmlns="ceb00776-aa5c-4fc8-b6fe-5f035152e4b6">20190108-GEF 9216-Response to GEF Sec Comment on CEO</DocumentTitle>
  </documentManagement>
</p:properties>
</file>

<file path=customXml/itemProps1.xml><?xml version="1.0" encoding="utf-8"?>
<ds:datastoreItem xmlns:ds="http://schemas.openxmlformats.org/officeDocument/2006/customXml" ds:itemID="{493C9B18-E940-4179-B0BD-3D45B3015340}"/>
</file>

<file path=customXml/itemProps2.xml><?xml version="1.0" encoding="utf-8"?>
<ds:datastoreItem xmlns:ds="http://schemas.openxmlformats.org/officeDocument/2006/customXml" ds:itemID="{7CAFFF29-20A5-4FDB-808B-456B9430DC58}"/>
</file>

<file path=customXml/itemProps3.xml><?xml version="1.0" encoding="utf-8"?>
<ds:datastoreItem xmlns:ds="http://schemas.openxmlformats.org/officeDocument/2006/customXml" ds:itemID="{3256628A-C5AD-4030-8E9B-773F6006F728}"/>
</file>

<file path=docProps/app.xml><?xml version="1.0" encoding="utf-8"?>
<Properties xmlns="http://schemas.openxmlformats.org/officeDocument/2006/extended-properties" xmlns:vt="http://schemas.openxmlformats.org/officeDocument/2006/docPropsVTypes">
  <Template>Normal.dotm</Template>
  <TotalTime>6</TotalTime>
  <Pages>2</Pages>
  <Words>394</Words>
  <Characters>2247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UNIDO</Company>
  <LinksUpToDate>false</LinksUpToDate>
  <CharactersWithSpaces>2636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ALHILALI, Smail</dc:creator>
  <cp:lastModifiedBy>ALHILALI, Smail</cp:lastModifiedBy>
  <cp:revision>1</cp:revision>
  <dcterms:created xsi:type="dcterms:W3CDTF">2019-01-08T08:41:00Z</dcterms:created>
  <dcterms:modified xsi:type="dcterms:W3CDTF">2019-01-08T08:47:00Z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